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369"/>
        <w:gridCol w:w="551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奶牛育种数据智能化采集与服务平台建设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生产运营科技模块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北京首农畜牧发展有限公司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刘林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13120176304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1110.07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1110.07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660.07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660.07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660.07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660.07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450.00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420" w:firstLineChars="20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建设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牧场数据智能采集和管理终端系统、奶牛反刍与健康数据采集系统、奶牛体型视频智能评定工作站、奶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牛个体采食量视频智能测定站和种公牛优选与智能选配平台。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420" w:firstLineChars="20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建设了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牧场数据智能采集和管理终端系统、奶牛反刍与健康数据采集系统、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种公牛优选与智能选配平台。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数据交换及对接处理模块7×24小时持续可用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每日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02：00-05：00</w:t>
            </w:r>
            <w:r>
              <w:rPr>
                <w:rFonts w:hint="eastAsia"/>
                <w:sz w:val="21"/>
                <w:szCs w:val="21"/>
              </w:rPr>
              <w:t>时间段内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数据交换及对接处理模块7×24小时持续可用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可用率≥99.0%，数据库应用可用率≥99.0%，WEB应用可用率≥99.0%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支持对大数据量的分析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对数据交换及对接处理模块进行维护，传输数据服务要求准确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</w:rPr>
              <w:t>高效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2024年10月之前，完成牧</w:t>
            </w:r>
            <w:r>
              <w:rPr>
                <w:rFonts w:hint="eastAsia" w:ascii="仿宋_GB2312" w:eastAsia="仿宋_GB2312"/>
                <w:sz w:val="21"/>
                <w:szCs w:val="21"/>
              </w:rPr>
              <w:t>场数据智能采集和管理终端系统、奶牛反刍与健康数据采集系统、奶牛体型视频智能评定工作站的建设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奶牛反刍与健康数据采集系统、奶牛体型视频智能评定工作站的建设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项目于2023年10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完成财政评审工作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12月完成首农畜牧、三元种业项目实施报备工作及集团审批工作。现推进相关招标工作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年度经费支出率0%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1110.07万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项目于2023年10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完成财政评审工作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12月完成首农畜牧、三元种业项目实施报备工作及集团审批工作。现推进相关招标工作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通过缩短胎间距，节约饲养成本达1200万元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7600万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项目于2023年10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完成财政评审工作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12月完成首农畜牧、三元种业项目实施报备工作及集团审批工作。现推进相关招标工作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通过提高繁殖率，年多产犊牛600头，实现直接增收3000万元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8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通过提高单产，增加</w:t>
            </w:r>
            <w:r>
              <w:rPr>
                <w:rFonts w:hint="eastAsia"/>
              </w:rPr>
              <w:t>可实现直接增效</w:t>
            </w:r>
            <w:r>
              <w:rPr>
                <w:rFonts w:hint="eastAsia"/>
                <w:highlight w:val="none"/>
              </w:rPr>
              <w:t>2400万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通过提高</w:t>
            </w:r>
            <w:r>
              <w:t>遗传评估的准确性</w:t>
            </w:r>
            <w:r>
              <w:rPr>
                <w:rFonts w:hint="eastAsia"/>
                <w:lang w:eastAsia="zh-CN"/>
              </w:rPr>
              <w:t>，年增加优质冷冻精液市场推广量20万支、每支50元计，年增加应收可达1000万。</w:t>
            </w:r>
          </w:p>
        </w:tc>
        <w:tc>
          <w:tcPr>
            <w:tcW w:w="113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t>提高信息时效性，扩大共享范围</w:t>
            </w:r>
            <w:r>
              <w:rPr>
                <w:rFonts w:hint="eastAsia"/>
                <w:lang w:eastAsia="zh-CN"/>
              </w:rPr>
              <w:t>，</w:t>
            </w:r>
            <w:r>
              <w:t>实现数字价值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>通过种质提升</w:t>
            </w:r>
            <w:r>
              <w:rPr>
                <w:rFonts w:hint="eastAsia"/>
              </w:rPr>
              <w:t>和推广的高效协同创新生态，打造前沿生物技术、数字技术和传统育种充分融合的商业化育种体系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带动京津冀数字育种的协同发展，推广应用于全国奶业。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rPr>
          <w:trHeight w:val="12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服务平谷牛场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——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NWQ5MGU2YzZmMGEyNzA4ZjQyN2NjNDAwNmI2NDU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660DF7"/>
    <w:rsid w:val="27ED6329"/>
    <w:rsid w:val="298D79EA"/>
    <w:rsid w:val="2F885B87"/>
    <w:rsid w:val="323B1394"/>
    <w:rsid w:val="33D15AAA"/>
    <w:rsid w:val="347D3165"/>
    <w:rsid w:val="45794F5F"/>
    <w:rsid w:val="45FD3F88"/>
    <w:rsid w:val="4B80034F"/>
    <w:rsid w:val="4D5170EA"/>
    <w:rsid w:val="4F3E20C8"/>
    <w:rsid w:val="52BC2005"/>
    <w:rsid w:val="5951471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张伟宏</cp:lastModifiedBy>
  <dcterms:modified xsi:type="dcterms:W3CDTF">2024-04-28T08:03:33Z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9104309230A244A3AF072A24AE4FB1AE_12</vt:lpwstr>
  </property>
</Properties>
</file>